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Standing Commitment</w:t>
      </w:r>
    </w:p>
    <w:p>
      <w:pPr>
        <w:pStyle w:val="Subtitle"/>
      </w:pPr>
      <w:r>
        <w:t xml:space="preserve">Memorandum of Engagement</w:t>
      </w:r>
    </w:p>
    <w:p>
      <w:pPr>
        <w:pStyle w:val="FirstParagraph"/>
      </w:pPr>
      <w:r>
        <w:drawing>
          <wp:inline>
            <wp:extent cx="3291840" cy="1097280"/>
            <wp:effectExtent b="0" l="0" r="0" t="0"/>
            <wp:docPr descr="" title="" id="10" name="Picture"/>
            <a:graphic>
              <a:graphicData uri="http://schemas.openxmlformats.org/drawingml/2006/picture">
                <pic:pic>
                  <pic:nvPicPr>
                    <pic:cNvPr descr="/tmp/letterhead/osage-letterhead.png" id="11" name="Picture"/>
                    <pic:cNvPicPr>
                      <a:picLocks noChangeArrowheads="1" noChangeAspect="1"/>
                    </pic:cNvPicPr>
                  </pic:nvPicPr>
                  <pic:blipFill>
                    <a:blip r:embed="rId9"/>
                    <a:stretch>
                      <a:fillRect/>
                    </a:stretch>
                  </pic:blipFill>
                  <pic:spPr bwMode="auto">
                    <a:xfrm>
                      <a:off x="0" y="0"/>
                      <a:ext cx="3291840" cy="1097280"/>
                    </a:xfrm>
                    <a:prstGeom prst="rect">
                      <a:avLst/>
                    </a:prstGeom>
                    <a:noFill/>
                    <a:ln w="9525">
                      <a:noFill/>
                      <a:headEnd/>
                      <a:tailEnd/>
                    </a:ln>
                  </pic:spPr>
                </pic:pic>
              </a:graphicData>
            </a:graphic>
          </wp:inline>
        </w:drawing>
      </w:r>
    </w:p>
    <w:p>
      <w:pPr>
        <w:pStyle w:val="BodyText"/>
      </w:pPr>
      <w:r>
        <w:t xml:space="preserve">*This Standing Commitment</w:t>
      </w:r>
      <w:r>
        <w:rPr>
          <w:b/>
          <w:bCs/>
        </w:rPr>
        <w:t xml:space="preserve"> </w:t>
      </w:r>
      <w:r>
        <w:rPr>
          <w:b/>
          <w:bCs/>
        </w:rPr>
        <w:t xml:space="preserve">(the</w:t>
      </w:r>
      <w:r>
        <w:rPr>
          <w:b/>
          <w:bCs/>
        </w:rPr>
        <w:t xml:space="preserve"> </w:t>
      </w:r>
      <w:r>
        <w:t xml:space="preserve">”Commitment”**), dated as of __________, 2026, is entered into between:</w:t>
      </w:r>
    </w:p>
    <w:p>
      <w:pPr>
        <w:numPr>
          <w:ilvl w:val="0"/>
          <w:numId w:val="1001"/>
        </w:numPr>
      </w:pPr>
      <w:r>
        <w:rPr>
          <w:b/>
          <w:bCs/>
        </w:rPr>
        <w:t xml:space="preserve">Osage Group Holdings, LLC</w:t>
      </w:r>
      <w:r>
        <w:t xml:space="preserve">, a limited liability company organised under the laws of the State of Oklahoma, U.S.A., with its principal office in Pawhuska, Osage County, Oklahoma (</w:t>
      </w:r>
      <w:r>
        <w:t xml:space="preserve">“</w:t>
      </w:r>
      <w:r>
        <w:rPr>
          <w:b/>
          <w:bCs/>
        </w:rPr>
        <w:t xml:space="preserve">Osage</w:t>
      </w:r>
      <w:r>
        <w:t xml:space="preserve">”</w:t>
      </w:r>
      <w:r>
        <w:t xml:space="preserve">); and</w:t>
      </w:r>
    </w:p>
    <w:p>
      <w:pPr>
        <w:numPr>
          <w:ilvl w:val="0"/>
          <w:numId w:val="1001"/>
        </w:numPr>
      </w:pPr>
      <w:r>
        <w:rPr>
          <w:b/>
          <w:bCs/>
        </w:rPr>
        <w:t xml:space="preserve">[Counterparty legal name]</w:t>
      </w:r>
      <w:r>
        <w:t xml:space="preserve">, a [entity form] organised under the laws of [jurisdiction], with its principal office at [address] (</w:t>
      </w:r>
      <w:r>
        <w:t xml:space="preserve">“</w:t>
      </w:r>
      <w:r>
        <w:rPr>
          <w:b/>
          <w:bCs/>
        </w:rPr>
        <w:t xml:space="preserve">Counterparty</w:t>
      </w:r>
      <w:r>
        <w:t xml:space="preserve">”</w:t>
      </w:r>
      <w:r>
        <w:t xml:space="preserve">).</w:t>
      </w:r>
    </w:p>
    <w:p>
      <w:pPr>
        <w:pStyle w:val="FirstParagraph"/>
      </w:pPr>
      <w:r>
        <w:t xml:space="preserve">Each, a</w:t>
      </w:r>
      <w:r>
        <w:t xml:space="preserve"> </w:t>
      </w:r>
      <w:r>
        <w:t xml:space="preserve">“</w:t>
      </w:r>
      <w:r>
        <w:rPr>
          <w:b/>
          <w:bCs/>
        </w:rPr>
        <w:t xml:space="preserve">Party</w:t>
      </w:r>
      <w:r>
        <w:t xml:space="preserve">”</w:t>
      </w:r>
      <w:r>
        <w:t xml:space="preserve">; together, the</w:t>
      </w:r>
      <w:r>
        <w:t xml:space="preserve"> </w:t>
      </w:r>
      <w:r>
        <w:t xml:space="preserve">“</w:t>
      </w:r>
      <w:r>
        <w:rPr>
          <w:b/>
          <w:bCs/>
        </w:rPr>
        <w:t xml:space="preserve">Parties</w:t>
      </w:r>
      <w:r>
        <w:t xml:space="preserve">”</w:t>
      </w:r>
      <w:r>
        <w:t xml:space="preserve">.</w:t>
      </w:r>
    </w:p>
    <w:bookmarkStart w:id="12" w:name="standing-relationship"/>
    <w:p>
      <w:pPr>
        <w:pStyle w:val="Heading2"/>
      </w:pPr>
      <w:r>
        <w:t xml:space="preserve">1. Standing relationship</w:t>
      </w:r>
    </w:p>
    <w:p>
      <w:pPr>
        <w:pStyle w:val="FirstParagraph"/>
      </w:pPr>
      <w:r>
        <w:t xml:space="preserve">1.1 Osage is the standing holding company of the Wah-Zha-Zhe diaspora. It coordinates patient capital, civic record, sovereign infrastructure, and the standing observances of the diaspora across an ecosystem of operating houses, civic foundations, and cultural programmes.</w:t>
      </w:r>
    </w:p>
    <w:p>
      <w:pPr>
        <w:pStyle w:val="BodyText"/>
      </w:pPr>
      <w:r>
        <w:t xml:space="preserve">1.2 The Parties enter this Commitment to record, in writing, the standing terms on which they intend to engage. This Commitment is documentary; it sets out the spirit and the discipline of the engagement and is intended to outlast any single transaction.</w:t>
      </w:r>
    </w:p>
    <w:p>
      <w:pPr>
        <w:pStyle w:val="BodyText"/>
      </w:pPr>
      <w:r>
        <w:t xml:space="preserve">1.3 Specific transactions or projects undertaken in furtherance of this Commitment may be the subject of separate definitive agreements. Nothing in this Commitment shall, on its own, constitute a binding obligation to enter any such transaction or project.</w:t>
      </w:r>
    </w:p>
    <w:bookmarkEnd w:id="12"/>
    <w:bookmarkStart w:id="13" w:name="scope-of-engagement"/>
    <w:p>
      <w:pPr>
        <w:pStyle w:val="Heading2"/>
      </w:pPr>
      <w:r>
        <w:t xml:space="preserve">2. Scope of engagement</w:t>
      </w:r>
    </w:p>
    <w:p>
      <w:pPr>
        <w:pStyle w:val="FirstParagraph"/>
      </w:pPr>
      <w:r>
        <w:t xml:space="preserve">2.1 The Parties intend to engage in one or more of the following standing areas:</w:t>
      </w:r>
    </w:p>
    <w:p>
      <w:pPr>
        <w:pStyle w:val="Compact"/>
        <w:numPr>
          <w:ilvl w:val="0"/>
          <w:numId w:val="1002"/>
        </w:numPr>
      </w:pPr>
    </w:p>
    <w:p>
      <w:pPr>
        <w:pStyle w:val="Compact"/>
        <w:numPr>
          <w:ilvl w:val="1"/>
          <w:numId w:val="1003"/>
        </w:numPr>
      </w:pPr>
      <w:r>
        <w:t xml:space="preserve">capital allocation and co-investment;</w:t>
      </w:r>
    </w:p>
    <w:p>
      <w:pPr>
        <w:pStyle w:val="Compact"/>
        <w:numPr>
          <w:ilvl w:val="0"/>
          <w:numId w:val="1002"/>
        </w:numPr>
      </w:pPr>
    </w:p>
    <w:p>
      <w:pPr>
        <w:pStyle w:val="Compact"/>
        <w:numPr>
          <w:ilvl w:val="1"/>
          <w:numId w:val="1004"/>
        </w:numPr>
      </w:pPr>
      <w:r>
        <w:t xml:space="preserve">civic, charitable, or cultural programming;</w:t>
      </w:r>
    </w:p>
    <w:p>
      <w:pPr>
        <w:pStyle w:val="Compact"/>
        <w:numPr>
          <w:ilvl w:val="0"/>
          <w:numId w:val="1002"/>
        </w:numPr>
      </w:pPr>
    </w:p>
    <w:p>
      <w:pPr>
        <w:pStyle w:val="Compact"/>
        <w:numPr>
          <w:ilvl w:val="1"/>
          <w:numId w:val="1005"/>
        </w:numPr>
      </w:pPr>
      <w:r>
        <w:t xml:space="preserve">research, fellowship, or institutional partnership;</w:t>
      </w:r>
    </w:p>
    <w:p>
      <w:pPr>
        <w:pStyle w:val="Compact"/>
        <w:numPr>
          <w:ilvl w:val="0"/>
          <w:numId w:val="1002"/>
        </w:numPr>
      </w:pPr>
    </w:p>
    <w:p>
      <w:pPr>
        <w:pStyle w:val="Compact"/>
        <w:numPr>
          <w:ilvl w:val="1"/>
          <w:numId w:val="1006"/>
        </w:numPr>
      </w:pPr>
      <w:r>
        <w:t xml:space="preserve">procurement of goods or services between the Parties;</w:t>
      </w:r>
    </w:p>
    <w:p>
      <w:pPr>
        <w:pStyle w:val="Compact"/>
        <w:numPr>
          <w:ilvl w:val="0"/>
          <w:numId w:val="1002"/>
        </w:numPr>
      </w:pPr>
    </w:p>
    <w:p>
      <w:pPr>
        <w:pStyle w:val="Compact"/>
        <w:numPr>
          <w:ilvl w:val="1"/>
          <w:numId w:val="1007"/>
        </w:numPr>
      </w:pPr>
      <w:r>
        <w:t xml:space="preserve">such additional areas as the Parties may, from time to time, agree in writing.</w:t>
      </w:r>
    </w:p>
    <w:p>
      <w:pPr>
        <w:pStyle w:val="FirstParagraph"/>
      </w:pPr>
      <w:r>
        <w:t xml:space="preserve">2.2 The specific scope of any engagement under this Commitment shall be set out in writing, signed by an authorised officer of each Party.</w:t>
      </w:r>
    </w:p>
    <w:bookmarkEnd w:id="13"/>
    <w:bookmarkStart w:id="14" w:name="standing-observances"/>
    <w:p>
      <w:pPr>
        <w:pStyle w:val="Heading2"/>
      </w:pPr>
      <w:r>
        <w:t xml:space="preserve">3. Standing observances</w:t>
      </w:r>
    </w:p>
    <w:p>
      <w:pPr>
        <w:pStyle w:val="FirstParagraph"/>
      </w:pPr>
      <w:r>
        <w:t xml:space="preserve">3.1</w:t>
      </w:r>
      <w:r>
        <w:t xml:space="preserve"> </w:t>
      </w:r>
      <w:r>
        <w:rPr>
          <w:b/>
          <w:bCs/>
        </w:rPr>
        <w:t xml:space="preserve">Sovereignty.</w:t>
      </w:r>
      <w:r>
        <w:t xml:space="preserve"> </w:t>
      </w:r>
      <w:r>
        <w:t xml:space="preserve">The Parties recognise that the Osage Nation is a federally recognised sovereign tribal government distinct from Osage; the Nation speaks for itself, and Osage does not represent the Nation. Where work under this Commitment touches the Osage Nation or any other sovereign or hereditary office, the Parties shall engage that authority directly and on its own terms.</w:t>
      </w:r>
    </w:p>
    <w:p>
      <w:pPr>
        <w:pStyle w:val="BodyText"/>
      </w:pPr>
      <w:r>
        <w:t xml:space="preserve">3.2</w:t>
      </w:r>
      <w:r>
        <w:t xml:space="preserve"> </w:t>
      </w:r>
      <w:r>
        <w:rPr>
          <w:b/>
          <w:bCs/>
        </w:rPr>
        <w:t xml:space="preserve">Ceremonial protocol.</w:t>
      </w:r>
      <w:r>
        <w:t xml:space="preserve"> </w:t>
      </w:r>
      <w:r>
        <w:t xml:space="preserve">The Parties shall not, under this Commitment or any agreement entered into in furtherance of it, depict, license, or commercialise ceremonial regalia, songs, dances, or sacred materials of the Osage Nation or any allied tribal nation. Any sacred materials disclosed to either Party in the course of the engagement shall be held in confidence in perpetuity, without exception.</w:t>
      </w:r>
    </w:p>
    <w:p>
      <w:pPr>
        <w:pStyle w:val="BodyText"/>
      </w:pPr>
      <w:r>
        <w:t xml:space="preserve">3.3</w:t>
      </w:r>
      <w:r>
        <w:t xml:space="preserve"> </w:t>
      </w:r>
      <w:r>
        <w:rPr>
          <w:b/>
          <w:bCs/>
        </w:rPr>
        <w:t xml:space="preserve">Indigenous-business preference.</w:t>
      </w:r>
      <w:r>
        <w:t xml:space="preserve"> </w:t>
      </w:r>
      <w:r>
        <w:t xml:space="preserve">Where procurement is contemplated and Indigenous-owned suppliers can meet the technical, commercial, and ethical requirements at substantially equal cost, the Parties shall give preference to such suppliers in accordance with the supplier code published at</w:t>
      </w:r>
      <w:r>
        <w:t xml:space="preserve"> </w:t>
      </w:r>
      <w:r>
        <w:rPr>
          <w:i/>
          <w:iCs/>
        </w:rPr>
        <w:t xml:space="preserve">osage.global/suppliers</w:t>
      </w:r>
      <w:r>
        <w:t xml:space="preserve">.</w:t>
      </w:r>
    </w:p>
    <w:bookmarkEnd w:id="14"/>
    <w:bookmarkStart w:id="15" w:name="documentary-discipline"/>
    <w:p>
      <w:pPr>
        <w:pStyle w:val="Heading2"/>
      </w:pPr>
      <w:r>
        <w:t xml:space="preserve">4. Documentary discipline</w:t>
      </w:r>
    </w:p>
    <w:p>
      <w:pPr>
        <w:pStyle w:val="FirstParagraph"/>
      </w:pPr>
      <w:r>
        <w:t xml:space="preserve">4.1 Material decisions taken under this Commitment shall be in writing. Material errors shall be corrected by appended dated note, never silently.</w:t>
      </w:r>
    </w:p>
    <w:p>
      <w:pPr>
        <w:pStyle w:val="BodyText"/>
      </w:pPr>
      <w:r>
        <w:t xml:space="preserve">4.2 Where applicable, on-chain records of attestations and transfers shall be maintained at</w:t>
      </w:r>
      <w:r>
        <w:t xml:space="preserve"> </w:t>
      </w:r>
      <w:r>
        <w:rPr>
          <w:i/>
          <w:iCs/>
        </w:rPr>
        <w:t xml:space="preserve">osage.network</w:t>
      </w:r>
      <w:r>
        <w:t xml:space="preserve">; the on-chain entry shall be the receipt of record for purposes of audit and verification.</w:t>
      </w:r>
    </w:p>
    <w:bookmarkEnd w:id="15"/>
    <w:bookmarkStart w:id="16" w:name="confidentiality"/>
    <w:p>
      <w:pPr>
        <w:pStyle w:val="Heading2"/>
      </w:pPr>
      <w:r>
        <w:t xml:space="preserve">5. Confidentiality</w:t>
      </w:r>
    </w:p>
    <w:p>
      <w:pPr>
        <w:pStyle w:val="FirstParagraph"/>
      </w:pPr>
      <w:r>
        <w:t xml:space="preserve">5.1 Each Party shall treat as confidential any non-public information of the other Party disclosed in connection with this Commitment and shall use such information solely for purposes of the engagement.</w:t>
      </w:r>
    </w:p>
    <w:p>
      <w:pPr>
        <w:pStyle w:val="BodyText"/>
      </w:pPr>
      <w:r>
        <w:t xml:space="preserve">5.2 The obligation of confidentiality shall survive termination of this Commitment for a period of seven (7) years, save that any sacred materials disclosed under §3.2 shall be held in confidence in perpetuity.</w:t>
      </w:r>
    </w:p>
    <w:bookmarkEnd w:id="16"/>
    <w:bookmarkStart w:id="17" w:name="conflicts-and-disclosure"/>
    <w:p>
      <w:pPr>
        <w:pStyle w:val="Heading2"/>
      </w:pPr>
      <w:r>
        <w:t xml:space="preserve">6. Conflicts and disclosure</w:t>
      </w:r>
    </w:p>
    <w:p>
      <w:pPr>
        <w:pStyle w:val="FirstParagraph"/>
      </w:pPr>
      <w:r>
        <w:t xml:space="preserve">6.1 Each Party shall promptly disclose to the other any actual or potential conflict of interest that may arise in connection with this Commitment, including any economic interest of an officer or director of the Party in a matter under engagement.</w:t>
      </w:r>
    </w:p>
    <w:p>
      <w:pPr>
        <w:pStyle w:val="BodyText"/>
      </w:pPr>
      <w:r>
        <w:t xml:space="preserve">6.2 Osage’s standing independence policies are published at</w:t>
      </w:r>
      <w:r>
        <w:t xml:space="preserve"> </w:t>
      </w:r>
      <w:r>
        <w:rPr>
          <w:i/>
          <w:iCs/>
        </w:rPr>
        <w:t xml:space="preserve">osage.group/governance</w:t>
      </w:r>
      <w:r>
        <w:t xml:space="preserve"> </w:t>
      </w:r>
      <w:r>
        <w:t xml:space="preserve">and apply to any officer or director of Osage acting under this Commitment.</w:t>
      </w:r>
    </w:p>
    <w:bookmarkEnd w:id="17"/>
    <w:bookmarkStart w:id="18" w:name="term-and-termination"/>
    <w:p>
      <w:pPr>
        <w:pStyle w:val="Heading2"/>
      </w:pPr>
      <w:r>
        <w:t xml:space="preserve">7. Term and termination</w:t>
      </w:r>
    </w:p>
    <w:p>
      <w:pPr>
        <w:pStyle w:val="FirstParagraph"/>
      </w:pPr>
      <w:r>
        <w:t xml:space="preserve">7.1 This Commitment is of indefinite duration and is intended to govern the standing relationship of the Parties for so long as the relationship continues.</w:t>
      </w:r>
    </w:p>
    <w:p>
      <w:pPr>
        <w:pStyle w:val="BodyText"/>
      </w:pPr>
      <w:r>
        <w:t xml:space="preserve">7.2 Either Party may terminate this Commitment for any reason on ninety (90) days’ written notice to the other. Termination shall not affect any definitive agreement entered into in furtherance of this Commitment unless that agreement so provides.</w:t>
      </w:r>
    </w:p>
    <w:bookmarkEnd w:id="18"/>
    <w:bookmarkStart w:id="19" w:name="governing-law-and-venue"/>
    <w:p>
      <w:pPr>
        <w:pStyle w:val="Heading2"/>
      </w:pPr>
      <w:r>
        <w:t xml:space="preserve">8. Governing law and venue</w:t>
      </w:r>
    </w:p>
    <w:p>
      <w:pPr>
        <w:pStyle w:val="FirstParagraph"/>
      </w:pPr>
      <w:r>
        <w:t xml:space="preserve">8.1 This Commitment shall be governed by and construed in accordance with the laws of the State of Oklahoma, U.S.A., without regard to conflicts-of-law principles.</w:t>
      </w:r>
    </w:p>
    <w:p>
      <w:pPr>
        <w:pStyle w:val="BodyText"/>
      </w:pPr>
      <w:r>
        <w:t xml:space="preserve">8.2 The Parties consent to the exclusive jurisdiction of the state and federal courts located in Osage County, Oklahoma, for any matter arising under or in connection with this Commitment.</w:t>
      </w:r>
    </w:p>
    <w:bookmarkEnd w:id="19"/>
    <w:bookmarkStart w:id="20" w:name="notices"/>
    <w:p>
      <w:pPr>
        <w:pStyle w:val="Heading2"/>
      </w:pPr>
      <w:r>
        <w:t xml:space="preserve">9. Notices</w:t>
      </w:r>
    </w:p>
    <w:p>
      <w:pPr>
        <w:pStyle w:val="FirstParagraph"/>
      </w:pPr>
      <w:r>
        <w:t xml:space="preserve">9.1 Notices to Osage shall be sent to</w:t>
      </w:r>
      <w:r>
        <w:t xml:space="preserve"> </w:t>
      </w:r>
      <w:r>
        <w:rPr>
          <w:b/>
          <w:bCs/>
        </w:rPr>
        <w:t xml:space="preserve">Office of the Chief Executive Officer</w:t>
      </w:r>
      <w:r>
        <w:t xml:space="preserve">, Osage Group Holdings, LLC, Pawhuska, Oklahoma 74056, U.S.A., with electronic copy to</w:t>
      </w:r>
      <w:r>
        <w:t xml:space="preserve"> </w:t>
      </w:r>
      <w:r>
        <w:rPr>
          <w:i/>
          <w:iCs/>
        </w:rPr>
        <w:t xml:space="preserve">office-of-the-ceo@osage.group</w:t>
      </w:r>
      <w:r>
        <w:t xml:space="preserve">.</w:t>
      </w:r>
    </w:p>
    <w:p>
      <w:pPr>
        <w:pStyle w:val="BodyText"/>
      </w:pPr>
      <w:r>
        <w:t xml:space="preserve">9.2 Notices to Counterparty shall be sent to</w:t>
      </w:r>
      <w:r>
        <w:t xml:space="preserve"> </w:t>
      </w:r>
      <w:r>
        <w:rPr>
          <w:b/>
          <w:bCs/>
        </w:rPr>
        <w:t xml:space="preserve">[Counterparty notice address]</w:t>
      </w:r>
      <w:r>
        <w:t xml:space="preserve">, with electronic copy to</w:t>
      </w:r>
      <w:r>
        <w:t xml:space="preserve"> </w:t>
      </w:r>
      <w:r>
        <w:rPr>
          <w:b/>
          <w:bCs/>
        </w:rPr>
        <w:t xml:space="preserve">[Counterparty email]</w:t>
      </w:r>
      <w:r>
        <w:t xml:space="preserve">.</w:t>
      </w:r>
    </w:p>
    <w:bookmarkEnd w:id="20"/>
    <w:bookmarkStart w:id="21" w:name="entire-agreement-amendments"/>
    <w:p>
      <w:pPr>
        <w:pStyle w:val="Heading2"/>
      </w:pPr>
      <w:r>
        <w:t xml:space="preserve">10. Entire agreement; amendments</w:t>
      </w:r>
    </w:p>
    <w:p>
      <w:pPr>
        <w:pStyle w:val="FirstParagraph"/>
      </w:pPr>
      <w:r>
        <w:t xml:space="preserve">10.1 This Commitment constitutes the entire understanding of the Parties as to its subject matter and supersedes any prior understanding, written or oral.</w:t>
      </w:r>
    </w:p>
    <w:p>
      <w:pPr>
        <w:pStyle w:val="BodyText"/>
      </w:pPr>
      <w:r>
        <w:t xml:space="preserve">10.2 Amendments shall be in writing and signed by an authorised officer of each Party.</w:t>
      </w:r>
    </w:p>
    <w:p>
      <w:pPr>
        <w:pStyle w:val="BodyText"/>
      </w:pPr>
      <w:r>
        <w:t xml:space="preserve">The Parties have executed this Standing Commitment as of the date first above written.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jc w:val="left"/>
            </w:pPr>
            <w:r>
              <w:rPr>
                <w:b/>
                <w:bCs/>
              </w:rPr>
              <w:t xml:space="preserve">OSAGE GROUP HOLDINGS, LLC</w:t>
            </w:r>
          </w:p>
        </w:tc>
        <w:tc>
          <w:tcPr/>
          <w:p>
            <w:pPr>
              <w:pStyle w:val="Compact"/>
              <w:jc w:val="left"/>
            </w:pPr>
            <w:r>
              <w:rPr>
                <w:b/>
                <w:bCs/>
              </w:rPr>
              <w:t xml:space="preserve">[COUNTERPARTY LEGAL NAME]</w:t>
            </w:r>
          </w:p>
        </w:tc>
      </w:tr>
      <w:tr>
        <w:tc>
          <w:tcPr/>
          <w:p>
            <w:pPr>
              <w:pStyle w:val="Compact"/>
              <w:jc w:val="left"/>
            </w:pPr>
            <w:r>
              <w:t xml:space="preserve">By: ____________________________</w:t>
            </w:r>
          </w:p>
        </w:tc>
        <w:tc>
          <w:tcPr/>
          <w:p>
            <w:pPr>
              <w:pStyle w:val="Compact"/>
              <w:jc w:val="left"/>
            </w:pPr>
            <w:r>
              <w:t xml:space="preserve">By: ____________________________</w:t>
            </w:r>
          </w:p>
        </w:tc>
      </w:tr>
      <w:tr>
        <w:tc>
          <w:tcPr/>
          <w:p>
            <w:pPr>
              <w:pStyle w:val="Compact"/>
              <w:jc w:val="left"/>
            </w:pPr>
            <w:r>
              <w:t xml:space="preserve">Name:</w:t>
            </w:r>
            <w:r>
              <w:t xml:space="preserve"> </w:t>
            </w:r>
            <w:r>
              <w:rPr>
                <w:b/>
                <w:bCs/>
              </w:rPr>
              <w:t xml:space="preserve">H.</w:t>
            </w:r>
            <w:r>
              <w:rPr>
                <w:b/>
                <w:bCs/>
              </w:rPr>
              <w:t xml:space="preserve"> </w:t>
            </w:r>
            <w:r>
              <w:rPr>
                <w:b/>
                <w:bCs/>
              </w:rPr>
              <w:t xml:space="preserve">“Smoke”</w:t>
            </w:r>
            <w:r>
              <w:rPr>
                <w:b/>
                <w:bCs/>
              </w:rPr>
              <w:t xml:space="preserve"> </w:t>
            </w:r>
            <w:r>
              <w:rPr>
                <w:b/>
                <w:bCs/>
              </w:rPr>
              <w:t xml:space="preserve">Dupont</w:t>
            </w:r>
          </w:p>
        </w:tc>
        <w:tc>
          <w:tcPr/>
          <w:p>
            <w:pPr>
              <w:pStyle w:val="Compact"/>
              <w:jc w:val="left"/>
            </w:pPr>
            <w:r>
              <w:t xml:space="preserve">Name: __________________________</w:t>
            </w:r>
          </w:p>
        </w:tc>
      </w:tr>
      <w:tr>
        <w:tc>
          <w:tcPr/>
          <w:p>
            <w:pPr>
              <w:pStyle w:val="Compact"/>
              <w:jc w:val="left"/>
            </w:pPr>
            <w:r>
              <w:t xml:space="preserve">Title:</w:t>
            </w:r>
            <w:r>
              <w:t xml:space="preserve"> </w:t>
            </w:r>
            <w:r>
              <w:rPr>
                <w:b/>
                <w:bCs/>
              </w:rPr>
              <w:t xml:space="preserve">Chief Executive Officer &amp; Chairman of the Board</w:t>
            </w:r>
          </w:p>
        </w:tc>
        <w:tc>
          <w:tcPr/>
          <w:p>
            <w:pPr>
              <w:pStyle w:val="Compact"/>
              <w:jc w:val="left"/>
            </w:pPr>
            <w:r>
              <w:t xml:space="preserve">Title: __________________________</w:t>
            </w:r>
          </w:p>
        </w:tc>
      </w:tr>
      <w:tr>
        <w:tc>
          <w:tcPr/>
          <w:p>
            <w:pPr>
              <w:pStyle w:val="Compact"/>
              <w:jc w:val="left"/>
            </w:pPr>
            <w:r>
              <w:t xml:space="preserve">Date: ________________</w:t>
            </w:r>
          </w:p>
        </w:tc>
        <w:tc>
          <w:tcPr/>
          <w:p>
            <w:pPr>
              <w:pStyle w:val="Compact"/>
              <w:jc w:val="left"/>
            </w:pPr>
            <w:r>
              <w:t xml:space="preserve">Date: ________________</w:t>
            </w:r>
          </w:p>
        </w:tc>
      </w:tr>
    </w:tbl>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734">
    <w:nsid w:val="00A99734"/>
    <w:multiLevelType w:val="multilevel"/>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abstractNum w:abstractNumId="99735">
    <w:nsid w:val="00A99735"/>
    <w:multiLevelType w:val="multilevel"/>
    <w:lvl w:ilvl="0">
      <w:start w:val="5"/>
      <w:numFmt w:val="lowerLetter"/>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160" w:hanging="360"/>
      </w:pPr>
    </w:lvl>
    <w:lvl w:ilvl="3">
      <w:start w:val="5"/>
      <w:numFmt w:val="lowerLetter"/>
      <w:lvlText w:val="(%4)"/>
      <w:lvlJc w:val="left"/>
      <w:pPr>
        <w:ind w:left="2880" w:hanging="360"/>
      </w:pPr>
    </w:lvl>
    <w:lvl w:ilvl="4">
      <w:start w:val="5"/>
      <w:numFmt w:val="lowerLetter"/>
      <w:lvlText w:val="(%5)"/>
      <w:lvlJc w:val="left"/>
      <w:pPr>
        <w:ind w:left="3600" w:hanging="360"/>
      </w:pPr>
    </w:lvl>
    <w:lvl w:ilvl="5">
      <w:start w:val="5"/>
      <w:numFmt w:val="lowerLetter"/>
      <w:lvlText w:val="(%6)"/>
      <w:lvlJc w:val="left"/>
      <w:pPr>
        <w:ind w:left="4320" w:hanging="360"/>
      </w:pPr>
    </w:lvl>
    <w:lvl w:ilvl="6">
      <w:start w:val="5"/>
      <w:numFmt w:val="lowerLetter"/>
      <w:lvlText w:val="(%7)"/>
      <w:lvlJc w:val="left"/>
      <w:pPr>
        <w:ind w:left="5040" w:hanging="360"/>
      </w:pPr>
    </w:lvl>
    <w:lvl w:ilvl="7">
      <w:start w:val="5"/>
      <w:numFmt w:val="lowerLetter"/>
      <w:lvlText w:val="(%8)"/>
      <w:lvlJc w:val="left"/>
      <w:pPr>
        <w:ind w:left="5760" w:hanging="360"/>
      </w:pPr>
    </w:lvl>
    <w:lvl w:ilvl="8">
      <w:start w:val="5"/>
      <w:numFmt w:val="lowerLetter"/>
      <w:lvlText w:val="(%9)"/>
      <w:lvlJc w:val="left"/>
      <w:pPr>
        <w:ind w:left="6480" w:hanging="360"/>
      </w:pPr>
    </w:lvl>
  </w:abstractNum>
  <w:num w:numId="1000">
    <w:abstractNumId w:val="990"/>
  </w:num>
  <w:num w:numId="1001">
    <w:abstractNumId w:val="991"/>
  </w:num>
  <w:num w:numId="1002">
    <w:abstractNumId w:val="991"/>
  </w:num>
  <w:num w:numId="1003">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6">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7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Commitment</dc:title>
  <dc:creator/>
  <cp:keywords/>
  <dcterms:created xsi:type="dcterms:W3CDTF">2026-05-12T21:17:44Z</dcterms:created>
  <dcterms:modified xsi:type="dcterms:W3CDTF">2026-05-12T21:17:44Z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links">
    <vt:lpwstr>True</vt:lpwstr>
  </property>
  <property fmtid="{D5CDD505-2E9C-101B-9397-08002B2CF9AE}" pid="3" name="fontsize">
    <vt:lpwstr>11pt</vt:lpwstr>
  </property>
  <property fmtid="{D5CDD505-2E9C-101B-9397-08002B2CF9AE}" pid="4" name="geometry">
    <vt:lpwstr>margin=1in</vt:lpwstr>
  </property>
  <property fmtid="{D5CDD505-2E9C-101B-9397-08002B2CF9AE}" pid="5" name="linkcolor">
    <vt:lpwstr>Maroon</vt:lpwstr>
  </property>
  <property fmtid="{D5CDD505-2E9C-101B-9397-08002B2CF9AE}" pid="6" name="mainfont">
    <vt:lpwstr>EB Garamond</vt:lpwstr>
  </property>
  <property fmtid="{D5CDD505-2E9C-101B-9397-08002B2CF9AE}" pid="7" name="sansfont">
    <vt:lpwstr>Helvetica Neue</vt:lpwstr>
  </property>
  <property fmtid="{D5CDD505-2E9C-101B-9397-08002B2CF9AE}" pid="8" name="subtitle">
    <vt:lpwstr>Memorandum of Engagement</vt:lpwstr>
  </property>
</Properties>
</file>