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Capital Onboarding</w:t>
      </w:r>
    </w:p>
    <w:p>
      <w:pPr>
        <w:pStyle w:val="Subtitle"/>
      </w:pPr>
      <w:r>
        <w:t xml:space="preserve">Letter of Intent — Osage Capital · Osage Fund · Osage Management</w:t>
      </w:r>
    </w:p>
    <w:p>
      <w:pPr>
        <w:pStyle w:val="FirstParagraph"/>
      </w:pPr>
      <w:r>
        <w:drawing>
          <wp:inline>
            <wp:extent cx="3291840" cy="109728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tmp/letterhead/osage-letterhead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*This Letter of Intent</w:t>
      </w:r>
      <w:r>
        <w:rPr>
          <w:b/>
          <w:bCs/>
        </w:rPr>
        <w:t xml:space="preserve"> </w:t>
      </w:r>
      <w:r>
        <w:rPr>
          <w:b/>
          <w:bCs/>
        </w:rPr>
        <w:t xml:space="preserve">(the</w:t>
      </w:r>
      <w:r>
        <w:rPr>
          <w:b/>
          <w:bCs/>
        </w:rPr>
        <w:t xml:space="preserve"> </w:t>
      </w:r>
      <w:r>
        <w:t xml:space="preserve">”LOI”**), dated as of __________, 2026, is from: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[Investor legal name]</w:t>
      </w:r>
      <w:r>
        <w:t xml:space="preserve">, [entity form], with principal office at [address] (the</w:t>
      </w:r>
      <w:r>
        <w:t xml:space="preserve"> </w:t>
      </w:r>
      <w:r>
        <w:t xml:space="preserve">“</w:t>
      </w:r>
      <w:r>
        <w:rPr>
          <w:b/>
          <w:bCs/>
        </w:rPr>
        <w:t xml:space="preserve">Investor</w:t>
      </w:r>
      <w:r>
        <w:t xml:space="preserve">”</w:t>
      </w:r>
      <w:r>
        <w:t xml:space="preserve">); to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Osage Group Holdings, LLC</w:t>
      </w:r>
      <w:r>
        <w:t xml:space="preserve">, Pawhuska, Oklahoma (</w:t>
      </w:r>
      <w:r>
        <w:t xml:space="preserve">“</w:t>
      </w:r>
      <w:r>
        <w:rPr>
          <w:b/>
          <w:bCs/>
        </w:rPr>
        <w:t xml:space="preserve">Osage</w:t>
      </w:r>
      <w:r>
        <w:t xml:space="preserve">”</w:t>
      </w:r>
      <w:r>
        <w:t xml:space="preserve">), and its investment vehicles</w:t>
      </w:r>
      <w:r>
        <w:t xml:space="preserve"> </w:t>
      </w:r>
      <w:r>
        <w:rPr>
          <w:b/>
          <w:bCs/>
        </w:rPr>
        <w:t xml:space="preserve">Osage Capital</w:t>
      </w:r>
      <w:r>
        <w:t xml:space="preserve">,</w:t>
      </w:r>
      <w:r>
        <w:t xml:space="preserve"> </w:t>
      </w:r>
      <w:r>
        <w:rPr>
          <w:b/>
          <w:bCs/>
        </w:rPr>
        <w:t xml:space="preserve">Osage Fund</w:t>
      </w:r>
      <w:r>
        <w:t xml:space="preserve">, and</w:t>
      </w:r>
      <w:r>
        <w:t xml:space="preserve"> </w:t>
      </w:r>
      <w:r>
        <w:rPr>
          <w:b/>
          <w:bCs/>
        </w:rPr>
        <w:t xml:space="preserve">Osage Management</w:t>
      </w:r>
      <w:r>
        <w:t xml:space="preserve">, as applicable.</w:t>
      </w:r>
    </w:p>
    <w:bookmarkStart w:id="12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1.1 The Investor wishes to engage with Osage to evaluate a potential investment commitment to one or more of Osage’s standing vehicles, on the standing terms described at</w:t>
      </w:r>
      <w:r>
        <w:t xml:space="preserve"> </w:t>
      </w:r>
      <w:r>
        <w:rPr>
          <w:i/>
          <w:iCs/>
        </w:rPr>
        <w:t xml:space="preserve">osage.group/investors</w:t>
      </w:r>
      <w:r>
        <w:t xml:space="preserve"> </w:t>
      </w:r>
      <w:r>
        <w:t xml:space="preserve">and incorporated by reference.</w:t>
      </w:r>
    </w:p>
    <w:p>
      <w:pPr>
        <w:pStyle w:val="BodyText"/>
      </w:pPr>
      <w:r>
        <w:t xml:space="preserve">1.2 This LOI is non-binding except for §§5 (Confidentiality), 6 (Eligibility &amp; diligence), and 9 (Governing law).</w:t>
      </w:r>
    </w:p>
    <w:bookmarkEnd w:id="12"/>
    <w:bookmarkStart w:id="13" w:name="indicative-terms"/>
    <w:p>
      <w:pPr>
        <w:pStyle w:val="Heading2"/>
      </w:pPr>
      <w:r>
        <w:t xml:space="preserve">2. Indicative terms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0"/>
        <w:gridCol w:w="56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Indicative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Investor 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[Investor name]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Vehicle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Osage Capital ☐ Osage Fund ☐ Osage Management SMA ☐ Other: 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Indicative commitment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Indicative term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5 years ☐ 10 years ☐ Open-ended ☐ Other: 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Liquidity preference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Annual ☐ Quarterly ☐ Negotiated ☐ 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Reporting cadence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statements + annual letter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Custody preference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 Self ☐ Osage-coordinated ☐ Third-party prime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contact (Investor)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 / email / phone</w:t>
            </w:r>
          </w:p>
        </w:tc>
      </w:tr>
    </w:tbl>
    <w:bookmarkEnd w:id="13"/>
    <w:bookmarkStart w:id="14" w:name="investment-posture"/>
    <w:p>
      <w:pPr>
        <w:pStyle w:val="Heading2"/>
      </w:pPr>
      <w:r>
        <w:t xml:space="preserve">3. Investment posture</w:t>
      </w:r>
    </w:p>
    <w:p>
      <w:pPr>
        <w:pStyle w:val="FirstParagraph"/>
      </w:pPr>
      <w:r>
        <w:t xml:space="preserve">3.1 Investor acknowledges that Osage’s standing posture is: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Century-plus perspective.</w:t>
      </w:r>
      <w:r>
        <w:t xml:space="preserve"> </w:t>
      </w:r>
      <w:r>
        <w:t xml:space="preserve">The framing is generational; capital and treasury are managed with the deepest liquidity, but the outlook is a hundred-year horizon, not a quarter.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Concentration over diversification.</w:t>
      </w:r>
      <w:r>
        <w:t xml:space="preserve"> </w:t>
      </w:r>
      <w:r>
        <w:t xml:space="preserve">Few positions, deeply understood; no leverage at the vehicle level.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Operating involvement.</w:t>
      </w:r>
      <w:r>
        <w:t xml:space="preserve"> </w:t>
      </w:r>
      <w:r>
        <w:t xml:space="preserve">Where Osage holds meaningful stakes, it serves on boards and contributes operationally.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 anonymous-token positions.</w:t>
      </w:r>
      <w:r>
        <w:t xml:space="preserve"> </w:t>
      </w:r>
      <w:r>
        <w:t xml:space="preserve">No regulatory-arbitrage vehicles.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Drawdowns are tolerated; permanent loss of capital is not.</w:t>
      </w:r>
    </w:p>
    <w:p>
      <w:pPr>
        <w:pStyle w:val="FirstParagraph"/>
      </w:pPr>
      <w:r>
        <w:t xml:space="preserve">3.2 Subscription is limited to</w:t>
      </w:r>
      <w:r>
        <w:t xml:space="preserve"> </w:t>
      </w:r>
      <w:r>
        <w:rPr>
          <w:b/>
          <w:bCs/>
        </w:rPr>
        <w:t xml:space="preserve">accredited investors</w:t>
      </w:r>
      <w:r>
        <w:t xml:space="preserve"> </w:t>
      </w:r>
      <w:r>
        <w:t xml:space="preserve">(SEC Rule 501(a)) and</w:t>
      </w:r>
      <w:r>
        <w:t xml:space="preserve"> </w:t>
      </w:r>
      <w:r>
        <w:rPr>
          <w:b/>
          <w:bCs/>
        </w:rPr>
        <w:t xml:space="preserve">qualified purchasers</w:t>
      </w:r>
      <w:r>
        <w:t xml:space="preserve"> </w:t>
      </w:r>
      <w:r>
        <w:t xml:space="preserve">(Investment Company Act §2(a)(51)) where applicable, and to institutional counterparties under equivalent definitions in partner jurisdictions.</w:t>
      </w:r>
    </w:p>
    <w:bookmarkEnd w:id="14"/>
    <w:bookmarkStart w:id="15" w:name="process"/>
    <w:p>
      <w:pPr>
        <w:pStyle w:val="Heading2"/>
      </w:pPr>
      <w:r>
        <w:t xml:space="preserve">4. Process</w:t>
      </w:r>
    </w:p>
    <w:p>
      <w:pPr>
        <w:pStyle w:val="FirstParagraph"/>
      </w:pPr>
      <w:r>
        <w:t xml:space="preserve">4.1 On execution of this LOI, the Parties will:</w:t>
      </w: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1"/>
          <w:numId w:val="1004"/>
        </w:numPr>
      </w:pPr>
      <w:r>
        <w:t xml:space="preserve">exchange diligence materials under the Mutual Confidentiality Agreement;</w:t>
      </w: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1"/>
          <w:numId w:val="1005"/>
        </w:numPr>
      </w:pPr>
      <w:r>
        <w:t xml:space="preserve">complete identity, accreditation, and beneficial-ownership diligence through</w:t>
      </w:r>
      <w:r>
        <w:t xml:space="preserve"> </w:t>
      </w:r>
      <w:r>
        <w:rPr>
          <w:b/>
          <w:bCs/>
        </w:rPr>
        <w:t xml:space="preserve">Osage ID</w:t>
      </w:r>
      <w:r>
        <w:t xml:space="preserve"> </w:t>
      </w:r>
      <w:r>
        <w:t xml:space="preserve">(</w:t>
      </w:r>
      <w:r>
        <w:rPr>
          <w:i/>
          <w:iCs/>
        </w:rPr>
        <w:t xml:space="preserve">osage.id</w:t>
      </w:r>
      <w:r>
        <w:t xml:space="preserve">);</w:t>
      </w: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1"/>
          <w:numId w:val="1006"/>
        </w:numPr>
      </w:pPr>
      <w:r>
        <w:t xml:space="preserve">review the private-placement memorandum for the selected vehicle;</w:t>
      </w:r>
    </w:p>
    <w:p>
      <w:pPr>
        <w:pStyle w:val="Compact"/>
        <w:numPr>
          <w:ilvl w:val="0"/>
          <w:numId w:val="1003"/>
        </w:numPr>
      </w:pPr>
    </w:p>
    <w:p>
      <w:pPr>
        <w:pStyle w:val="Compact"/>
        <w:numPr>
          <w:ilvl w:val="1"/>
          <w:numId w:val="1007"/>
        </w:numPr>
      </w:pPr>
      <w:r>
        <w:t xml:space="preserve">execute definitive subscription documentation prepared by Osage’s counsel.</w:t>
      </w:r>
    </w:p>
    <w:p>
      <w:pPr>
        <w:pStyle w:val="FirstParagraph"/>
      </w:pPr>
      <w:r>
        <w:t xml:space="preserve">4.2 The Parties intend to complete diligence and definitive documentation within</w:t>
      </w:r>
      <w:r>
        <w:t xml:space="preserve"> </w:t>
      </w:r>
      <w:r>
        <w:rPr>
          <w:b/>
          <w:bCs/>
        </w:rPr>
        <w:t xml:space="preserve">sixty (60) days</w:t>
      </w:r>
      <w:r>
        <w:t xml:space="preserve"> </w:t>
      </w:r>
      <w:r>
        <w:t xml:space="preserve">of the date of this LOI, subject to extension by mutual agreement.</w:t>
      </w:r>
    </w:p>
    <w:bookmarkEnd w:id="15"/>
    <w:bookmarkStart w:id="16" w:name="confidentiality"/>
    <w:p>
      <w:pPr>
        <w:pStyle w:val="Heading2"/>
      </w:pPr>
      <w:r>
        <w:t xml:space="preserve">5. Confidentiality</w:t>
      </w:r>
    </w:p>
    <w:p>
      <w:pPr>
        <w:pStyle w:val="FirstParagraph"/>
      </w:pPr>
      <w:r>
        <w:t xml:space="preserve">The Parties’ confidentiality obligations are governed by the</w:t>
      </w:r>
      <w:r>
        <w:t xml:space="preserve"> </w:t>
      </w:r>
      <w:r>
        <w:rPr>
          <w:b/>
          <w:bCs/>
        </w:rPr>
        <w:t xml:space="preserve">Mutual Confidentiality Agreement</w:t>
      </w:r>
      <w:r>
        <w:t xml:space="preserve"> </w:t>
      </w:r>
      <w:r>
        <w:t xml:space="preserve">of even date herewith (or already in force between the Parties). Materials exchanged under this LOI are Confidential Information thereunder.</w:t>
      </w:r>
    </w:p>
    <w:bookmarkEnd w:id="16"/>
    <w:bookmarkStart w:id="17" w:name="eligibility-diligence"/>
    <w:p>
      <w:pPr>
        <w:pStyle w:val="Heading2"/>
      </w:pPr>
      <w:r>
        <w:t xml:space="preserve">6. Eligibility &amp; diligence</w:t>
      </w:r>
    </w:p>
    <w:p>
      <w:pPr>
        <w:pStyle w:val="FirstParagraph"/>
      </w:pPr>
      <w:r>
        <w:t xml:space="preserve">6.1 Investor represents that, at the time of subscription, Investor will qualify as an accredited investor (or institutional equivalent) under applicable law.</w:t>
      </w:r>
    </w:p>
    <w:p>
      <w:pPr>
        <w:pStyle w:val="BodyText"/>
      </w:pPr>
      <w:r>
        <w:t xml:space="preserve">6.2 Investor agrees to complete the standing identity and beneficial-ownership diligence administered by Osage ID, including documentary verification, sanctions screening, and (for entities) ultimate beneficial owner disclosure.</w:t>
      </w:r>
    </w:p>
    <w:p>
      <w:pPr>
        <w:pStyle w:val="BodyText"/>
      </w:pPr>
      <w:r>
        <w:t xml:space="preserve">6.3 Standard minimum commitment is</w:t>
      </w:r>
      <w:r>
        <w:t xml:space="preserve"> </w:t>
      </w:r>
      <w:r>
        <w:rPr>
          <w:b/>
          <w:bCs/>
        </w:rPr>
        <w:t xml:space="preserve">USD 1,000,000</w:t>
      </w:r>
      <w:r>
        <w:t xml:space="preserve"> </w:t>
      </w:r>
      <w:r>
        <w:t xml:space="preserve">per subscriber. Lower minimums are available for tribal-treasury counterparties at Osage’s sole discretion.</w:t>
      </w:r>
    </w:p>
    <w:bookmarkEnd w:id="17"/>
    <w:bookmarkStart w:id="18" w:name="no-offer-risk-disclosure"/>
    <w:p>
      <w:pPr>
        <w:pStyle w:val="Heading2"/>
      </w:pPr>
      <w:r>
        <w:t xml:space="preserve">7. No offer; risk disclosure</w:t>
      </w:r>
    </w:p>
    <w:p>
      <w:pPr>
        <w:pStyle w:val="FirstParagraph"/>
      </w:pPr>
      <w:r>
        <w:t xml:space="preserve">7.1 This LOI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an offer to sell, nor a solicitation of an offer to buy, any security. Offers are made only by means of a definitive private-placement memorandum to qualified investors.</w:t>
      </w:r>
    </w:p>
    <w:p>
      <w:pPr>
        <w:pStyle w:val="BodyText"/>
      </w:pPr>
      <w:r>
        <w:t xml:space="preserve">7.2 Investments in Osage vehicles are illiquid, are subject to risk of loss including total loss of principal, and are unsuitable for investors requiring liquidity, current income, or predictable mark-to-market valuation. Past performance is not indicative of future results.</w:t>
      </w:r>
    </w:p>
    <w:bookmarkEnd w:id="18"/>
    <w:bookmarkStart w:id="19" w:name="termination"/>
    <w:p>
      <w:pPr>
        <w:pStyle w:val="Heading2"/>
      </w:pPr>
      <w:r>
        <w:t xml:space="preserve">8. Termination</w:t>
      </w:r>
    </w:p>
    <w:p>
      <w:pPr>
        <w:pStyle w:val="FirstParagraph"/>
      </w:pPr>
      <w:r>
        <w:t xml:space="preserve">Either Party may terminate this LOI at any time by written notice to the other. Sections 5, 6, and 9 survive termination.</w:t>
      </w:r>
    </w:p>
    <w:bookmarkEnd w:id="19"/>
    <w:bookmarkStart w:id="20" w:name="governing-law"/>
    <w:p>
      <w:pPr>
        <w:pStyle w:val="Heading2"/>
      </w:pPr>
      <w:r>
        <w:t xml:space="preserve">9. Governing law</w:t>
      </w:r>
    </w:p>
    <w:p>
      <w:pPr>
        <w:pStyle w:val="FirstParagraph"/>
      </w:pPr>
      <w:r>
        <w:t xml:space="preserve">This LOI shall be governed by and construed in accordance with the laws of the State of Oklahoma, U.S.A., without regard to conflicts-of-law principles. The Parties consent to the exclusive jurisdiction of the state and federal courts located in Osage County, Oklahoma.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INVESTOR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ACKNOWLEDGED — OSAGE GROUP HOLDINGS, LLC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By: ____________________________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By: 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Name: __________________________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Name:</w:t>
            </w:r>
            <w:r>
              <w:t xml:space="preserve"> </w:t>
            </w:r>
            <w:r>
              <w:rPr>
                <w:b/>
                <w:bCs/>
              </w:rPr>
              <w:t xml:space="preserve">H.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“Smoke”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Dupont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Title: __________________________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Title:</w:t>
            </w:r>
            <w:r>
              <w:t xml:space="preserve"> </w:t>
            </w:r>
            <w:r>
              <w:rPr>
                <w:b/>
                <w:bCs/>
              </w:rPr>
              <w:t xml:space="preserve">Chief Executive Officer &amp; Chairman of the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Date: 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Date: ________________</w:t>
            </w:r>
          </w:p>
        </w:tc>
      </w:tr>
    </w:tbl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732">
    <w:nsid w:val="00A99732"/>
    <w:multiLevelType w:val="multilevel"/>
    <w:lvl w:ilvl="0">
      <w:start w:val="2"/>
      <w:numFmt w:val="lowerLetter"/>
      <w:lvlText w:val="(%1)"/>
      <w:lvlJc w:val="left"/>
      <w:pPr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</w:lvl>
    <w:lvl w:ilvl="2">
      <w:start w:val="2"/>
      <w:numFmt w:val="lowerLetter"/>
      <w:lvlText w:val="(%3)"/>
      <w:lvlJc w:val="left"/>
      <w:pPr>
        <w:ind w:left="2160" w:hanging="360"/>
      </w:pPr>
    </w:lvl>
    <w:lvl w:ilvl="3">
      <w:start w:val="2"/>
      <w:numFmt w:val="lowerLetter"/>
      <w:lvlText w:val="(%4)"/>
      <w:lvlJc w:val="left"/>
      <w:pPr>
        <w:ind w:left="2880" w:hanging="360"/>
      </w:pPr>
    </w:lvl>
    <w:lvl w:ilvl="4">
      <w:start w:val="2"/>
      <w:numFmt w:val="lowerLetter"/>
      <w:lvlText w:val="(%5)"/>
      <w:lvlJc w:val="left"/>
      <w:pPr>
        <w:ind w:left="3600" w:hanging="360"/>
      </w:pPr>
    </w:lvl>
    <w:lvl w:ilvl="5">
      <w:start w:val="2"/>
      <w:numFmt w:val="lowerLetter"/>
      <w:lvlText w:val="(%6)"/>
      <w:lvlJc w:val="left"/>
      <w:pPr>
        <w:ind w:left="4320" w:hanging="360"/>
      </w:pPr>
    </w:lvl>
    <w:lvl w:ilvl="6">
      <w:start w:val="2"/>
      <w:numFmt w:val="lowerLetter"/>
      <w:lvlText w:val="(%7)"/>
      <w:lvlJc w:val="left"/>
      <w:pPr>
        <w:ind w:left="5040" w:hanging="360"/>
      </w:pPr>
    </w:lvl>
    <w:lvl w:ilvl="7">
      <w:start w:val="2"/>
      <w:numFmt w:val="lowerLetter"/>
      <w:lvlText w:val="(%8)"/>
      <w:lvlJc w:val="left"/>
      <w:pPr>
        <w:ind w:left="5760" w:hanging="360"/>
      </w:pPr>
    </w:lvl>
    <w:lvl w:ilvl="8">
      <w:start w:val="2"/>
      <w:numFmt w:val="lowerLetter"/>
      <w:lvlText w:val="(%9)"/>
      <w:lvlJc w:val="left"/>
      <w:pPr>
        <w:ind w:left="6480" w:hanging="360"/>
      </w:pPr>
    </w:lvl>
  </w:abstractNum>
  <w:abstractNum w:abstractNumId="99733">
    <w:nsid w:val="00A99733"/>
    <w:multiLevelType w:val="multilevel"/>
    <w:lvl w:ilvl="0">
      <w:start w:val="3"/>
      <w:numFmt w:val="lowerLetter"/>
      <w:lvlText w:val="(%1)"/>
      <w:lvlJc w:val="left"/>
      <w:pPr>
        <w:ind w:left="720" w:hanging="360"/>
      </w:pPr>
    </w:lvl>
    <w:lvl w:ilvl="1">
      <w:start w:val="3"/>
      <w:numFmt w:val="lowerLetter"/>
      <w:lvlText w:val="(%2)"/>
      <w:lvlJc w:val="left"/>
      <w:pPr>
        <w:ind w:left="1440" w:hanging="360"/>
      </w:pPr>
    </w:lvl>
    <w:lvl w:ilvl="2">
      <w:start w:val="3"/>
      <w:numFmt w:val="lowerLetter"/>
      <w:lvlText w:val="(%3)"/>
      <w:lvlJc w:val="left"/>
      <w:pPr>
        <w:ind w:left="2160" w:hanging="360"/>
      </w:pPr>
    </w:lvl>
    <w:lvl w:ilvl="3">
      <w:start w:val="3"/>
      <w:numFmt w:val="lowerLetter"/>
      <w:lvlText w:val="(%4)"/>
      <w:lvlJc w:val="left"/>
      <w:pPr>
        <w:ind w:left="2880" w:hanging="360"/>
      </w:pPr>
    </w:lvl>
    <w:lvl w:ilvl="4">
      <w:start w:val="3"/>
      <w:numFmt w:val="lowerLetter"/>
      <w:lvlText w:val="(%5)"/>
      <w:lvlJc w:val="left"/>
      <w:pPr>
        <w:ind w:left="3600" w:hanging="360"/>
      </w:pPr>
    </w:lvl>
    <w:lvl w:ilvl="5">
      <w:start w:val="3"/>
      <w:numFmt w:val="lowerLetter"/>
      <w:lvlText w:val="(%6)"/>
      <w:lvlJc w:val="left"/>
      <w:pPr>
        <w:ind w:left="4320" w:hanging="360"/>
      </w:pPr>
    </w:lvl>
    <w:lvl w:ilvl="6">
      <w:start w:val="3"/>
      <w:numFmt w:val="lowerLetter"/>
      <w:lvlText w:val="(%7)"/>
      <w:lvlJc w:val="left"/>
      <w:pPr>
        <w:ind w:left="5040" w:hanging="360"/>
      </w:pPr>
    </w:lvl>
    <w:lvl w:ilvl="7">
      <w:start w:val="3"/>
      <w:numFmt w:val="lowerLetter"/>
      <w:lvlText w:val="(%8)"/>
      <w:lvlJc w:val="left"/>
      <w:pPr>
        <w:ind w:left="5760" w:hanging="360"/>
      </w:pPr>
    </w:lvl>
    <w:lvl w:ilvl="8">
      <w:start w:val="3"/>
      <w:numFmt w:val="lowerLetter"/>
      <w:lvlText w:val="(%9)"/>
      <w:lvlJc w:val="left"/>
      <w:pPr>
        <w:ind w:left="6480" w:hanging="360"/>
      </w:pPr>
    </w:lvl>
  </w:abstractNum>
  <w:abstractNum w:abstractNumId="99734">
    <w:nsid w:val="00A99734"/>
    <w:multiLevelType w:val="multilevel"/>
    <w:lvl w:ilvl="0">
      <w:start w:val="4"/>
      <w:numFmt w:val="lowerLetter"/>
      <w:lvlText w:val="(%1)"/>
      <w:lvlJc w:val="left"/>
      <w:pPr>
        <w:ind w:left="720" w:hanging="360"/>
      </w:pPr>
    </w:lvl>
    <w:lvl w:ilvl="1">
      <w:start w:val="4"/>
      <w:numFmt w:val="lowerLetter"/>
      <w:lvlText w:val="(%2)"/>
      <w:lvlJc w:val="left"/>
      <w:pPr>
        <w:ind w:left="1440" w:hanging="360"/>
      </w:pPr>
    </w:lvl>
    <w:lvl w:ilvl="2">
      <w:start w:val="4"/>
      <w:numFmt w:val="lowerLetter"/>
      <w:lvlText w:val="(%3)"/>
      <w:lvlJc w:val="left"/>
      <w:pPr>
        <w:ind w:left="2160" w:hanging="360"/>
      </w:pPr>
    </w:lvl>
    <w:lvl w:ilvl="3">
      <w:start w:val="4"/>
      <w:numFmt w:val="lowerLetter"/>
      <w:lvlText w:val="(%4)"/>
      <w:lvlJc w:val="left"/>
      <w:pPr>
        <w:ind w:left="2880" w:hanging="360"/>
      </w:pPr>
    </w:lvl>
    <w:lvl w:ilvl="4">
      <w:start w:val="4"/>
      <w:numFmt w:val="lowerLetter"/>
      <w:lvlText w:val="(%5)"/>
      <w:lvlJc w:val="left"/>
      <w:pPr>
        <w:ind w:left="3600" w:hanging="360"/>
      </w:pPr>
    </w:lvl>
    <w:lvl w:ilvl="5">
      <w:start w:val="4"/>
      <w:numFmt w:val="lowerLetter"/>
      <w:lvlText w:val="(%6)"/>
      <w:lvlJc w:val="left"/>
      <w:pPr>
        <w:ind w:left="4320" w:hanging="360"/>
      </w:pPr>
    </w:lvl>
    <w:lvl w:ilvl="6">
      <w:start w:val="4"/>
      <w:numFmt w:val="lowerLetter"/>
      <w:lvlText w:val="(%7)"/>
      <w:lvlJc w:val="left"/>
      <w:pPr>
        <w:ind w:left="5040" w:hanging="360"/>
      </w:pPr>
    </w:lvl>
    <w:lvl w:ilvl="7">
      <w:start w:val="4"/>
      <w:numFmt w:val="lowerLetter"/>
      <w:lvlText w:val="(%8)"/>
      <w:lvlJc w:val="left"/>
      <w:pPr>
        <w:ind w:left="5760" w:hanging="360"/>
      </w:pPr>
    </w:lvl>
    <w:lvl w:ilvl="8">
      <w:start w:val="4"/>
      <w:numFmt w:val="lowerLetter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7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73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Onboarding</dc:title>
  <dc:creator/>
  <cp:keywords/>
  <dcterms:created xsi:type="dcterms:W3CDTF">2026-05-12T21:17:45Z</dcterms:created>
  <dcterms:modified xsi:type="dcterms:W3CDTF">2026-05-12T21:17:45Z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links">
    <vt:lpwstr>True</vt:lpwstr>
  </property>
  <property fmtid="{D5CDD505-2E9C-101B-9397-08002B2CF9AE}" pid="3" name="fontsize">
    <vt:lpwstr>11pt</vt:lpwstr>
  </property>
  <property fmtid="{D5CDD505-2E9C-101B-9397-08002B2CF9AE}" pid="4" name="geometry">
    <vt:lpwstr>margin=1in</vt:lpwstr>
  </property>
  <property fmtid="{D5CDD505-2E9C-101B-9397-08002B2CF9AE}" pid="5" name="linkcolor">
    <vt:lpwstr>Maroon</vt:lpwstr>
  </property>
  <property fmtid="{D5CDD505-2E9C-101B-9397-08002B2CF9AE}" pid="6" name="mainfont">
    <vt:lpwstr>EB Garamond</vt:lpwstr>
  </property>
  <property fmtid="{D5CDD505-2E9C-101B-9397-08002B2CF9AE}" pid="7" name="sansfont">
    <vt:lpwstr>Helvetica Neue</vt:lpwstr>
  </property>
  <property fmtid="{D5CDD505-2E9C-101B-9397-08002B2CF9AE}" pid="8" name="subtitle">
    <vt:lpwstr>Letter of Intent — Osage Capital · Osage Fund · Osage Management</vt:lpwstr>
  </property>
</Properties>
</file>